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C19A25D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 Bezpečnostní </w:t>
      </w:r>
      <w:r w:rsidR="009347E3"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176EE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Balan</w:t>
      </w:r>
      <w:r w:rsidR="00B211AF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ční </w:t>
      </w:r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podložka </w:t>
      </w:r>
      <w:proofErr w:type="spellStart"/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cushion</w:t>
      </w:r>
      <w:proofErr w:type="spellEnd"/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34C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202BA9D5" w14:textId="7B49A5C7" w:rsidR="004E6410" w:rsidRDefault="004E641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z měkkého PVC s masážními bod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y.</w:t>
      </w:r>
    </w:p>
    <w:p w14:paraId="34608164" w14:textId="5010662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816BB8B" w14:textId="77777777" w:rsidR="00B211AF" w:rsidRPr="00B211AF" w:rsidRDefault="00B211AF" w:rsidP="00B211A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před každým použitím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: pokud je deska prasklá, protiskluzový povrch poškozen nebo chybí bezpečnostní zarážky, činnost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přerušte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546093E6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0129FA" w14:textId="77777777" w:rsidR="004E6410" w:rsidRPr="004E6410" w:rsidRDefault="004E641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prasklý nebo výrazně opotřebovaný – snižuje se stabilita a bezpečnost.</w:t>
      </w:r>
    </w:p>
    <w:p w14:paraId="2E04799A" w14:textId="4796B742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3F6A86B2" w14:textId="7D994A32" w:rsidR="004E6410" w:rsidRPr="004E6410" w:rsidRDefault="004E641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omezenou pohyblivostí či zdravotními potížemi (klouby, páteř, oběh) doporučujeme před použitím konzultaci s odborníkem.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1CAE803" w14:textId="5789258C" w:rsidR="004E6410" w:rsidRPr="004E6410" w:rsidRDefault="004E6410" w:rsidP="004E6410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nerovn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povr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chu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– může dojít ke sklouznutí a pádu.</w:t>
      </w:r>
    </w:p>
    <w:p w14:paraId="6BEC2AA0" w14:textId="7779AC1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4E5AF2" w14:textId="77777777" w:rsidR="004E6410" w:rsidRPr="004E6410" w:rsidRDefault="004E6410" w:rsidP="004E6410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cítíte bolest či necitlivost při používání, okamžitě přestaňte používat.</w:t>
      </w:r>
    </w:p>
    <w:p w14:paraId="7CED3CE3" w14:textId="7559C102" w:rsidR="00693D0D" w:rsidRPr="004E6410" w:rsidRDefault="001176EE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4E64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4E64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499A3169" w:rsidR="00451BC5" w:rsidRPr="00451BC5" w:rsidRDefault="00B211AF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572E1AF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DE516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BCBB" w14:textId="77777777" w:rsidR="00DE516E" w:rsidRDefault="00DE516E" w:rsidP="00693D0D">
      <w:r>
        <w:separator/>
      </w:r>
    </w:p>
  </w:endnote>
  <w:endnote w:type="continuationSeparator" w:id="0">
    <w:p w14:paraId="57F491A0" w14:textId="77777777" w:rsidR="00DE516E" w:rsidRDefault="00DE516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A25A" w14:textId="77777777" w:rsidR="00DE516E" w:rsidRDefault="00DE516E" w:rsidP="00693D0D">
      <w:r>
        <w:separator/>
      </w:r>
    </w:p>
  </w:footnote>
  <w:footnote w:type="continuationSeparator" w:id="0">
    <w:p w14:paraId="418699BD" w14:textId="77777777" w:rsidR="00DE516E" w:rsidRDefault="00DE516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2"/>
  </w:num>
  <w:num w:numId="3" w16cid:durableId="180245746">
    <w:abstractNumId w:val="4"/>
  </w:num>
  <w:num w:numId="4" w16cid:durableId="141889519">
    <w:abstractNumId w:val="2"/>
  </w:num>
  <w:num w:numId="5" w16cid:durableId="30765566">
    <w:abstractNumId w:val="11"/>
  </w:num>
  <w:num w:numId="6" w16cid:durableId="796878580">
    <w:abstractNumId w:val="15"/>
  </w:num>
  <w:num w:numId="7" w16cid:durableId="1220359389">
    <w:abstractNumId w:val="10"/>
  </w:num>
  <w:num w:numId="8" w16cid:durableId="1727534054">
    <w:abstractNumId w:val="5"/>
  </w:num>
  <w:num w:numId="9" w16cid:durableId="1336566045">
    <w:abstractNumId w:val="9"/>
  </w:num>
  <w:num w:numId="10" w16cid:durableId="1836143981">
    <w:abstractNumId w:val="13"/>
  </w:num>
  <w:num w:numId="11" w16cid:durableId="1050811632">
    <w:abstractNumId w:val="8"/>
  </w:num>
  <w:num w:numId="12" w16cid:durableId="361519149">
    <w:abstractNumId w:val="14"/>
  </w:num>
  <w:num w:numId="13" w16cid:durableId="474956294">
    <w:abstractNumId w:val="7"/>
  </w:num>
  <w:num w:numId="14" w16cid:durableId="18237764">
    <w:abstractNumId w:val="1"/>
  </w:num>
  <w:num w:numId="15" w16cid:durableId="357243691">
    <w:abstractNumId w:val="16"/>
  </w:num>
  <w:num w:numId="16" w16cid:durableId="82267948">
    <w:abstractNumId w:val="3"/>
  </w:num>
  <w:num w:numId="17" w16cid:durableId="62554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34C61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E516E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2025-08-06T08:11:00Z</dcterms:modified>
</cp:coreProperties>
</file>